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982B5E" w:rsidRDefault="004B13E3">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Article Review: Disability Journal</w:t>
      </w:r>
    </w:p>
    <w:p w14:paraId="00000002"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Name</w:t>
      </w:r>
    </w:p>
    <w:p w14:paraId="00000003"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Institution</w:t>
      </w:r>
    </w:p>
    <w:p w14:paraId="00000004"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Course</w:t>
      </w:r>
    </w:p>
    <w:p w14:paraId="00000005"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Instructor</w:t>
      </w:r>
    </w:p>
    <w:p w14:paraId="00000006"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Date</w:t>
      </w:r>
    </w:p>
    <w:p w14:paraId="00000007" w14:textId="77777777" w:rsidR="00982B5E" w:rsidRDefault="00982B5E">
      <w:pPr>
        <w:spacing w:line="480" w:lineRule="auto"/>
        <w:rPr>
          <w:rFonts w:ascii="Times New Roman" w:eastAsia="Times New Roman" w:hAnsi="Times New Roman" w:cs="Times New Roman"/>
          <w:sz w:val="24"/>
          <w:szCs w:val="24"/>
        </w:rPr>
      </w:pPr>
    </w:p>
    <w:p w14:paraId="00000008" w14:textId="77777777" w:rsidR="00982B5E" w:rsidRDefault="004B13E3">
      <w:pPr>
        <w:spacing w:line="480" w:lineRule="auto"/>
        <w:rPr>
          <w:rFonts w:ascii="Times New Roman" w:eastAsia="Times New Roman" w:hAnsi="Times New Roman" w:cs="Times New Roman"/>
          <w:sz w:val="24"/>
          <w:szCs w:val="24"/>
        </w:rPr>
      </w:pPr>
      <w:r>
        <w:br w:type="page"/>
      </w:r>
    </w:p>
    <w:p w14:paraId="00000009" w14:textId="77777777" w:rsidR="00982B5E" w:rsidRDefault="004B13E3">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Article Review: Disability Journals</w:t>
      </w:r>
    </w:p>
    <w:p w14:paraId="0000000A"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articles'The</w:t>
      </w:r>
      <w:proofErr w:type="spellEnd"/>
      <w:r>
        <w:rPr>
          <w:rFonts w:ascii="Times New Roman" w:eastAsia="Times New Roman" w:hAnsi="Times New Roman" w:cs="Times New Roman"/>
          <w:sz w:val="24"/>
          <w:szCs w:val="24"/>
        </w:rPr>
        <w:t xml:space="preserve"> social and human rights models of Disability: towards a complementarity thesis' by Anna Lawson and </w:t>
      </w:r>
      <w:proofErr w:type="spellStart"/>
      <w:r>
        <w:rPr>
          <w:rFonts w:ascii="Times New Roman" w:eastAsia="Times New Roman" w:hAnsi="Times New Roman" w:cs="Times New Roman"/>
          <w:sz w:val="24"/>
          <w:szCs w:val="24"/>
        </w:rPr>
        <w:t>A</w:t>
      </w:r>
      <w:r>
        <w:rPr>
          <w:rFonts w:ascii="Times New Roman" w:eastAsia="Times New Roman" w:hAnsi="Times New Roman" w:cs="Times New Roman"/>
          <w:sz w:val="24"/>
          <w:szCs w:val="24"/>
        </w:rPr>
        <w:t>ngharad</w:t>
      </w:r>
      <w:proofErr w:type="spellEnd"/>
      <w:r>
        <w:rPr>
          <w:rFonts w:ascii="Times New Roman" w:eastAsia="Times New Roman" w:hAnsi="Times New Roman" w:cs="Times New Roman"/>
          <w:sz w:val="24"/>
          <w:szCs w:val="24"/>
        </w:rPr>
        <w:t xml:space="preserve"> E. Becket,' Disability and employment – overview and highlights' by Katharina </w:t>
      </w:r>
      <w:proofErr w:type="spellStart"/>
      <w:r>
        <w:rPr>
          <w:rFonts w:ascii="Times New Roman" w:eastAsia="Times New Roman" w:hAnsi="Times New Roman" w:cs="Times New Roman"/>
          <w:sz w:val="24"/>
          <w:szCs w:val="24"/>
        </w:rPr>
        <w:t>Vornholt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Patrizia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Villotti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Muschalla</w:t>
      </w:r>
      <w:proofErr w:type="spellEnd"/>
      <w:r>
        <w:rPr>
          <w:rFonts w:ascii="Times New Roman" w:eastAsia="Times New Roman" w:hAnsi="Times New Roman" w:cs="Times New Roman"/>
          <w:sz w:val="24"/>
          <w:szCs w:val="24"/>
        </w:rPr>
        <w:t xml:space="preserve">, Jana Bauer, Adrienne </w:t>
      </w:r>
      <w:proofErr w:type="spellStart"/>
      <w:r>
        <w:rPr>
          <w:rFonts w:ascii="Times New Roman" w:eastAsia="Times New Roman" w:hAnsi="Times New Roman" w:cs="Times New Roman"/>
          <w:sz w:val="24"/>
          <w:szCs w:val="24"/>
        </w:rPr>
        <w:t>Colella</w:t>
      </w:r>
      <w:proofErr w:type="spellEnd"/>
      <w:r>
        <w:rPr>
          <w:rFonts w:ascii="Times New Roman" w:eastAsia="Times New Roman" w:hAnsi="Times New Roman" w:cs="Times New Roman"/>
          <w:sz w:val="24"/>
          <w:szCs w:val="24"/>
        </w:rPr>
        <w:t xml:space="preserve">, Fred </w:t>
      </w:r>
      <w:proofErr w:type="spellStart"/>
      <w:r>
        <w:rPr>
          <w:rFonts w:ascii="Times New Roman" w:eastAsia="Times New Roman" w:hAnsi="Times New Roman" w:cs="Times New Roman"/>
          <w:sz w:val="24"/>
          <w:szCs w:val="24"/>
        </w:rPr>
        <w:t>Zijlstra</w:t>
      </w:r>
      <w:proofErr w:type="spellEnd"/>
      <w:r>
        <w:rPr>
          <w:rFonts w:ascii="Times New Roman" w:eastAsia="Times New Roman" w:hAnsi="Times New Roman" w:cs="Times New Roman"/>
          <w:sz w:val="24"/>
          <w:szCs w:val="24"/>
        </w:rPr>
        <w:t>, and the role of workplace accommodations in the employment of people with disab</w:t>
      </w:r>
      <w:r>
        <w:rPr>
          <w:rFonts w:ascii="Times New Roman" w:eastAsia="Times New Roman" w:hAnsi="Times New Roman" w:cs="Times New Roman"/>
          <w:sz w:val="24"/>
          <w:szCs w:val="24"/>
        </w:rPr>
        <w:t xml:space="preserve">ilities' by Priyanka </w:t>
      </w:r>
      <w:proofErr w:type="spellStart"/>
      <w:r>
        <w:rPr>
          <w:rFonts w:ascii="Times New Roman" w:eastAsia="Times New Roman" w:hAnsi="Times New Roman" w:cs="Times New Roman"/>
          <w:sz w:val="24"/>
          <w:szCs w:val="24"/>
        </w:rPr>
        <w:t>Anand</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Purvi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Sevak</w:t>
      </w:r>
      <w:proofErr w:type="spellEnd"/>
      <w:r>
        <w:rPr>
          <w:rFonts w:ascii="Times New Roman" w:eastAsia="Times New Roman" w:hAnsi="Times New Roman" w:cs="Times New Roman"/>
          <w:sz w:val="24"/>
          <w:szCs w:val="24"/>
        </w:rPr>
        <w:t xml:space="preserve"> divulge intricate arguments with regards to Disability and the nature of the impairments with regards to rights, education and other essential developmental issues relating to this group.</w:t>
      </w:r>
    </w:p>
    <w:p w14:paraId="0000000B"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the first arti</w:t>
      </w:r>
      <w:r>
        <w:rPr>
          <w:rFonts w:ascii="Times New Roman" w:eastAsia="Times New Roman" w:hAnsi="Times New Roman" w:cs="Times New Roman"/>
          <w:sz w:val="24"/>
          <w:szCs w:val="24"/>
        </w:rPr>
        <w:t xml:space="preserve">cle, Lawson and Becket discuss the scholarly model through which Disability is defined, presenting fundamental advocacy ideals based on research from different perspectives aligned towards assigning courtesy and respect to the group. The second article by </w:t>
      </w:r>
      <w:proofErr w:type="spellStart"/>
      <w:r>
        <w:rPr>
          <w:rFonts w:ascii="Times New Roman" w:eastAsia="Times New Roman" w:hAnsi="Times New Roman" w:cs="Times New Roman"/>
          <w:sz w:val="24"/>
          <w:szCs w:val="24"/>
        </w:rPr>
        <w:t>Vonholt</w:t>
      </w:r>
      <w:proofErr w:type="spellEnd"/>
      <w:r>
        <w:rPr>
          <w:rFonts w:ascii="Times New Roman" w:eastAsia="Times New Roman" w:hAnsi="Times New Roman" w:cs="Times New Roman"/>
          <w:sz w:val="24"/>
          <w:szCs w:val="24"/>
        </w:rPr>
        <w:t xml:space="preserve"> and Co discusses the impediments and the concerns that divulge from the social interactions with disabled people regarding employment, drawing on arguments that dictate societal issues and measures regarding rights and ADA provisions. The final art</w:t>
      </w:r>
      <w:r>
        <w:rPr>
          <w:rFonts w:ascii="Times New Roman" w:eastAsia="Times New Roman" w:hAnsi="Times New Roman" w:cs="Times New Roman"/>
          <w:sz w:val="24"/>
          <w:szCs w:val="24"/>
        </w:rPr>
        <w:t xml:space="preserve">icle by </w:t>
      </w:r>
      <w:proofErr w:type="spellStart"/>
      <w:r>
        <w:rPr>
          <w:rFonts w:ascii="Times New Roman" w:eastAsia="Times New Roman" w:hAnsi="Times New Roman" w:cs="Times New Roman"/>
          <w:sz w:val="24"/>
          <w:szCs w:val="24"/>
        </w:rPr>
        <w:t>Anand</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Sevak</w:t>
      </w:r>
      <w:proofErr w:type="spellEnd"/>
      <w:r>
        <w:rPr>
          <w:rFonts w:ascii="Times New Roman" w:eastAsia="Times New Roman" w:hAnsi="Times New Roman" w:cs="Times New Roman"/>
          <w:sz w:val="24"/>
          <w:szCs w:val="24"/>
        </w:rPr>
        <w:t xml:space="preserve"> discusses the need for accommodative workplace practices that bridge the differences between a disabled person and an able one presenting a distinction on these practices.</w:t>
      </w:r>
    </w:p>
    <w:p w14:paraId="0000000C"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Recent data shows that more than 15% of the world</w:t>
      </w:r>
      <w:r>
        <w:rPr>
          <w:rFonts w:ascii="Times New Roman" w:eastAsia="Times New Roman" w:hAnsi="Times New Roman" w:cs="Times New Roman"/>
          <w:sz w:val="24"/>
          <w:szCs w:val="24"/>
        </w:rPr>
        <w:t>'s population consists of disabled persons(</w:t>
      </w:r>
      <w:proofErr w:type="spellStart"/>
      <w:r>
        <w:rPr>
          <w:rFonts w:ascii="Times New Roman" w:eastAsia="Times New Roman" w:hAnsi="Times New Roman" w:cs="Times New Roman"/>
          <w:sz w:val="24"/>
          <w:szCs w:val="24"/>
        </w:rPr>
        <w:t>Vornholts</w:t>
      </w:r>
      <w:proofErr w:type="spellEnd"/>
      <w:r>
        <w:rPr>
          <w:rFonts w:ascii="Times New Roman" w:eastAsia="Times New Roman" w:hAnsi="Times New Roman" w:cs="Times New Roman"/>
          <w:sz w:val="24"/>
          <w:szCs w:val="24"/>
        </w:rPr>
        <w:t xml:space="preserve"> et al., 2018). From this point of view, it becomes essential to foster this particular group's wellness to enable them to function efficiently in society. However, it is morally necessary to define the c</w:t>
      </w:r>
      <w:r>
        <w:rPr>
          <w:rFonts w:ascii="Times New Roman" w:eastAsia="Times New Roman" w:hAnsi="Times New Roman" w:cs="Times New Roman"/>
          <w:sz w:val="24"/>
          <w:szCs w:val="24"/>
        </w:rPr>
        <w:t>ontext that is a disabled person to efficiently and purposeful aid in forgoing the Disability and enhancing the group's potential(</w:t>
      </w:r>
      <w:proofErr w:type="spellStart"/>
      <w:r>
        <w:rPr>
          <w:rFonts w:ascii="Times New Roman" w:eastAsia="Times New Roman" w:hAnsi="Times New Roman" w:cs="Times New Roman"/>
          <w:sz w:val="24"/>
          <w:szCs w:val="24"/>
        </w:rPr>
        <w:t>Anaad</w:t>
      </w:r>
      <w:proofErr w:type="spellEnd"/>
      <w:r>
        <w:rPr>
          <w:rFonts w:ascii="Times New Roman" w:eastAsia="Times New Roman" w:hAnsi="Times New Roman" w:cs="Times New Roman"/>
          <w:sz w:val="24"/>
          <w:szCs w:val="24"/>
        </w:rPr>
        <w:t xml:space="preserve"> et al., 2017). These developed data and research  value the process that  so far can  be said as  the most convenient ad</w:t>
      </w:r>
      <w:r>
        <w:rPr>
          <w:rFonts w:ascii="Times New Roman" w:eastAsia="Times New Roman" w:hAnsi="Times New Roman" w:cs="Times New Roman"/>
          <w:sz w:val="24"/>
          <w:szCs w:val="24"/>
        </w:rPr>
        <w:t>vocate for the group(</w:t>
      </w:r>
      <w:proofErr w:type="spellStart"/>
      <w:r>
        <w:rPr>
          <w:rFonts w:ascii="Times New Roman" w:eastAsia="Times New Roman" w:hAnsi="Times New Roman" w:cs="Times New Roman"/>
          <w:sz w:val="24"/>
          <w:szCs w:val="24"/>
        </w:rPr>
        <w:t>Anaad</w:t>
      </w:r>
      <w:proofErr w:type="spellEnd"/>
      <w:r>
        <w:rPr>
          <w:rFonts w:ascii="Times New Roman" w:eastAsia="Times New Roman" w:hAnsi="Times New Roman" w:cs="Times New Roman"/>
          <w:sz w:val="24"/>
          <w:szCs w:val="24"/>
        </w:rPr>
        <w:t xml:space="preserve"> et al., 2017)</w:t>
      </w:r>
    </w:p>
    <w:p w14:paraId="0000000D"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The three articles provisions methodologies that enable the collection of the data and creation of the conviction, that is, to suit the disabled persons. They employ research from similar papers, a vast p</w:t>
      </w:r>
      <w:r>
        <w:rPr>
          <w:rFonts w:ascii="Times New Roman" w:eastAsia="Times New Roman" w:hAnsi="Times New Roman" w:cs="Times New Roman"/>
          <w:sz w:val="24"/>
          <w:szCs w:val="24"/>
        </w:rPr>
        <w:t>ool of complete skill expertise, and the target group(</w:t>
      </w:r>
      <w:proofErr w:type="spellStart"/>
      <w:r>
        <w:rPr>
          <w:rFonts w:ascii="Times New Roman" w:eastAsia="Times New Roman" w:hAnsi="Times New Roman" w:cs="Times New Roman"/>
          <w:sz w:val="24"/>
          <w:szCs w:val="24"/>
        </w:rPr>
        <w:t>Anaad</w:t>
      </w:r>
      <w:proofErr w:type="spellEnd"/>
      <w:r>
        <w:rPr>
          <w:rFonts w:ascii="Times New Roman" w:eastAsia="Times New Roman" w:hAnsi="Times New Roman" w:cs="Times New Roman"/>
          <w:sz w:val="24"/>
          <w:szCs w:val="24"/>
        </w:rPr>
        <w:t xml:space="preserve"> et al., 2017). This article proposes different theories in alignment with the topic matter being discussed. The social models and human rights models (Lawson et al., 2021) defines the contextual d</w:t>
      </w:r>
      <w:r>
        <w:rPr>
          <w:rFonts w:ascii="Times New Roman" w:eastAsia="Times New Roman" w:hAnsi="Times New Roman" w:cs="Times New Roman"/>
          <w:sz w:val="24"/>
          <w:szCs w:val="24"/>
        </w:rPr>
        <w:t>efinitions of Disability on the one hand and the inclusion of human rights according to ADA provision.</w:t>
      </w:r>
    </w:p>
    <w:p w14:paraId="0000000E"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combination of the two models gives attention to this group regarding liberties, education, and employment(Lawson et al., 2021). Another mode</w:t>
      </w:r>
      <w:r>
        <w:rPr>
          <w:rFonts w:ascii="Times New Roman" w:eastAsia="Times New Roman" w:hAnsi="Times New Roman" w:cs="Times New Roman"/>
          <w:sz w:val="24"/>
          <w:szCs w:val="24"/>
        </w:rPr>
        <w:t>l in the articles is the ICF model, which presents similar contexts to the other two though in internationally accepted definitions and the ADA provisions. (</w:t>
      </w:r>
      <w:proofErr w:type="spellStart"/>
      <w:r>
        <w:rPr>
          <w:rFonts w:ascii="Times New Roman" w:eastAsia="Times New Roman" w:hAnsi="Times New Roman" w:cs="Times New Roman"/>
          <w:sz w:val="24"/>
          <w:szCs w:val="24"/>
        </w:rPr>
        <w:t>Vornholts</w:t>
      </w:r>
      <w:proofErr w:type="spellEnd"/>
      <w:r>
        <w:rPr>
          <w:rFonts w:ascii="Times New Roman" w:eastAsia="Times New Roman" w:hAnsi="Times New Roman" w:cs="Times New Roman"/>
          <w:sz w:val="24"/>
          <w:szCs w:val="24"/>
        </w:rPr>
        <w:t xml:space="preserve"> et al.,2018). This articles aim at creating an understanding of the disabled person towar</w:t>
      </w:r>
      <w:r>
        <w:rPr>
          <w:rFonts w:ascii="Times New Roman" w:eastAsia="Times New Roman" w:hAnsi="Times New Roman" w:cs="Times New Roman"/>
          <w:sz w:val="24"/>
          <w:szCs w:val="24"/>
        </w:rPr>
        <w:t>ds ensuring acceptability. Presently, with such moving research, people can achieve the n intuitive sense of responsibility towards ensuring equity and equality.</w:t>
      </w:r>
    </w:p>
    <w:p w14:paraId="0000000F"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Disability is a challenge that a fraction of the world shares, and ensuring it does</w:t>
      </w:r>
      <w:r>
        <w:rPr>
          <w:rFonts w:ascii="Times New Roman" w:eastAsia="Times New Roman" w:hAnsi="Times New Roman" w:cs="Times New Roman"/>
          <w:sz w:val="24"/>
          <w:szCs w:val="24"/>
        </w:rPr>
        <w:t>n't result in inability needs intervention(</w:t>
      </w:r>
      <w:proofErr w:type="spellStart"/>
      <w:r>
        <w:rPr>
          <w:rFonts w:ascii="Times New Roman" w:eastAsia="Times New Roman" w:hAnsi="Times New Roman" w:cs="Times New Roman"/>
          <w:sz w:val="24"/>
          <w:szCs w:val="24"/>
        </w:rPr>
        <w:t>Anaad</w:t>
      </w:r>
      <w:proofErr w:type="spellEnd"/>
      <w:r>
        <w:rPr>
          <w:rFonts w:ascii="Times New Roman" w:eastAsia="Times New Roman" w:hAnsi="Times New Roman" w:cs="Times New Roman"/>
          <w:sz w:val="24"/>
          <w:szCs w:val="24"/>
        </w:rPr>
        <w:t xml:space="preserve"> et al.,  2017). The three articles do not offer alternatives but rather show the essence of a complementary model </w:t>
      </w:r>
      <w:proofErr w:type="spellStart"/>
      <w:r>
        <w:rPr>
          <w:rFonts w:ascii="Times New Roman" w:eastAsia="Times New Roman" w:hAnsi="Times New Roman" w:cs="Times New Roman"/>
          <w:sz w:val="24"/>
          <w:szCs w:val="24"/>
        </w:rPr>
        <w:t>centered</w:t>
      </w:r>
      <w:proofErr w:type="spellEnd"/>
      <w:r>
        <w:rPr>
          <w:rFonts w:ascii="Times New Roman" w:eastAsia="Times New Roman" w:hAnsi="Times New Roman" w:cs="Times New Roman"/>
          <w:sz w:val="24"/>
          <w:szCs w:val="24"/>
        </w:rPr>
        <w:t xml:space="preserve"> towards relinquishing unsuitable practices and decisions for the better-suited optio</w:t>
      </w:r>
      <w:r>
        <w:rPr>
          <w:rFonts w:ascii="Times New Roman" w:eastAsia="Times New Roman" w:hAnsi="Times New Roman" w:cs="Times New Roman"/>
          <w:sz w:val="24"/>
          <w:szCs w:val="24"/>
        </w:rPr>
        <w:t>ns on the subject. The consequences of forgoing the developed data and research stand to devalue the process that can be said as being the most convenient advocate for the group.</w:t>
      </w:r>
    </w:p>
    <w:p w14:paraId="00000010"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arguments made by the articles create a differentiated milesto</w:t>
      </w:r>
      <w:r>
        <w:rPr>
          <w:rFonts w:ascii="Times New Roman" w:eastAsia="Times New Roman" w:hAnsi="Times New Roman" w:cs="Times New Roman"/>
          <w:sz w:val="24"/>
          <w:szCs w:val="24"/>
        </w:rPr>
        <w:t>ne towards approaching the topic in a more scholarly and fact-funded discussion. There are immense choices that have to be made based on the reports. This choice is anchored on the social-political aspect that elaborates the rights of this group, employmen</w:t>
      </w:r>
      <w:r>
        <w:rPr>
          <w:rFonts w:ascii="Times New Roman" w:eastAsia="Times New Roman" w:hAnsi="Times New Roman" w:cs="Times New Roman"/>
          <w:sz w:val="24"/>
          <w:szCs w:val="24"/>
        </w:rPr>
        <w:t>t status, and education(</w:t>
      </w:r>
      <w:proofErr w:type="spellStart"/>
      <w:r>
        <w:rPr>
          <w:rFonts w:ascii="Times New Roman" w:eastAsia="Times New Roman" w:hAnsi="Times New Roman" w:cs="Times New Roman"/>
          <w:sz w:val="24"/>
          <w:szCs w:val="24"/>
        </w:rPr>
        <w:t>Vornholt</w:t>
      </w:r>
      <w:proofErr w:type="spellEnd"/>
      <w:r>
        <w:rPr>
          <w:rFonts w:ascii="Times New Roman" w:eastAsia="Times New Roman" w:hAnsi="Times New Roman" w:cs="Times New Roman"/>
          <w:sz w:val="24"/>
          <w:szCs w:val="24"/>
        </w:rPr>
        <w:t xml:space="preserve"> et al., 2018). Therefore, employing the models presented in the provisions of the article, the directives that should be used to cater to the group</w:t>
      </w:r>
    </w:p>
    <w:p w14:paraId="00000011"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Disabled persons are an integral part of society, scattered in all </w:t>
      </w:r>
      <w:r>
        <w:rPr>
          <w:rFonts w:ascii="Times New Roman" w:eastAsia="Times New Roman" w:hAnsi="Times New Roman" w:cs="Times New Roman"/>
          <w:sz w:val="24"/>
          <w:szCs w:val="24"/>
        </w:rPr>
        <w:t>social interactions. Therefore, this sets the group deserving of an everyday life devoid of injustices in schools and workplaces, ensuring their rights are respected and observed. To ensure conformity with the compositional policy, it is necessary to align</w:t>
      </w:r>
      <w:r>
        <w:rPr>
          <w:rFonts w:ascii="Times New Roman" w:eastAsia="Times New Roman" w:hAnsi="Times New Roman" w:cs="Times New Roman"/>
          <w:sz w:val="24"/>
          <w:szCs w:val="24"/>
        </w:rPr>
        <w:t xml:space="preserve"> the suggested approach on non-discriminative,  upholding, and ideally humane.</w:t>
      </w:r>
    </w:p>
    <w:p w14:paraId="00000012"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3" w14:textId="77777777" w:rsidR="00982B5E" w:rsidRDefault="00982B5E">
      <w:pPr>
        <w:spacing w:line="480" w:lineRule="auto"/>
        <w:rPr>
          <w:rFonts w:ascii="Times New Roman" w:eastAsia="Times New Roman" w:hAnsi="Times New Roman" w:cs="Times New Roman"/>
          <w:sz w:val="24"/>
          <w:szCs w:val="24"/>
        </w:rPr>
      </w:pPr>
    </w:p>
    <w:p w14:paraId="00000014" w14:textId="77777777" w:rsidR="00982B5E" w:rsidRDefault="00982B5E">
      <w:pPr>
        <w:spacing w:line="480" w:lineRule="auto"/>
        <w:rPr>
          <w:rFonts w:ascii="Times New Roman" w:eastAsia="Times New Roman" w:hAnsi="Times New Roman" w:cs="Times New Roman"/>
          <w:sz w:val="24"/>
          <w:szCs w:val="24"/>
        </w:rPr>
      </w:pPr>
    </w:p>
    <w:p w14:paraId="00000015" w14:textId="77777777" w:rsidR="00982B5E" w:rsidRDefault="00982B5E">
      <w:pPr>
        <w:spacing w:line="480" w:lineRule="auto"/>
        <w:rPr>
          <w:rFonts w:ascii="Times New Roman" w:eastAsia="Times New Roman" w:hAnsi="Times New Roman" w:cs="Times New Roman"/>
          <w:sz w:val="24"/>
          <w:szCs w:val="24"/>
        </w:rPr>
      </w:pPr>
    </w:p>
    <w:p w14:paraId="00000016" w14:textId="77777777" w:rsidR="00982B5E" w:rsidRDefault="004B13E3">
      <w:pPr>
        <w:spacing w:line="480" w:lineRule="auto"/>
        <w:rPr>
          <w:rFonts w:ascii="Times New Roman" w:eastAsia="Times New Roman" w:hAnsi="Times New Roman" w:cs="Times New Roman"/>
          <w:sz w:val="24"/>
          <w:szCs w:val="24"/>
        </w:rPr>
      </w:pPr>
      <w:r>
        <w:br w:type="page"/>
      </w:r>
    </w:p>
    <w:p w14:paraId="00000017" w14:textId="77777777" w:rsidR="00982B5E" w:rsidRDefault="004B13E3">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References</w:t>
      </w:r>
    </w:p>
    <w:p w14:paraId="00000018" w14:textId="77777777" w:rsidR="00982B5E" w:rsidRDefault="004B13E3">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Lawson.A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Beckett.E.A</w:t>
      </w:r>
      <w:proofErr w:type="spellEnd"/>
      <w:r>
        <w:rPr>
          <w:rFonts w:ascii="Times New Roman" w:eastAsia="Times New Roman" w:hAnsi="Times New Roman" w:cs="Times New Roman"/>
          <w:sz w:val="24"/>
          <w:szCs w:val="24"/>
        </w:rPr>
        <w:t>, (2021) The social and human rights models of Disability</w:t>
      </w:r>
    </w:p>
    <w:p w14:paraId="00000019"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towards a complementarity thesis, The International Journal of Human Rights, 25:2, </w:t>
      </w:r>
    </w:p>
    <w:p w14:paraId="0000001A"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348-379, DOI: 10.1080/13642987.2020.1783533</w:t>
      </w:r>
    </w:p>
    <w:p w14:paraId="0000001B" w14:textId="77777777" w:rsidR="00982B5E" w:rsidRDefault="004B13E3">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Vornhol.K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Villotti.P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Muschalla.B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Bauer.J</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Colella.A</w:t>
      </w:r>
      <w:proofErr w:type="spellEnd"/>
      <w:r>
        <w:rPr>
          <w:rFonts w:ascii="Times New Roman" w:eastAsia="Times New Roman" w:hAnsi="Times New Roman" w:cs="Times New Roman"/>
          <w:sz w:val="24"/>
          <w:szCs w:val="24"/>
        </w:rPr>
        <w:t xml:space="preserve">, </w:t>
      </w:r>
    </w:p>
    <w:p w14:paraId="0000001C"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Zijlstra.F</w:t>
      </w:r>
      <w:proofErr w:type="spellEnd"/>
      <w:r>
        <w:rPr>
          <w:rFonts w:ascii="Times New Roman" w:eastAsia="Times New Roman" w:hAnsi="Times New Roman" w:cs="Times New Roman"/>
          <w:sz w:val="24"/>
          <w:szCs w:val="24"/>
        </w:rPr>
        <w:t xml:space="preserve">,  Van </w:t>
      </w:r>
      <w:proofErr w:type="spellStart"/>
      <w:r>
        <w:rPr>
          <w:rFonts w:ascii="Times New Roman" w:eastAsia="Times New Roman" w:hAnsi="Times New Roman" w:cs="Times New Roman"/>
          <w:sz w:val="24"/>
          <w:szCs w:val="24"/>
        </w:rPr>
        <w:t>Ruitenbeek</w:t>
      </w:r>
      <w:proofErr w:type="spellEnd"/>
      <w:r>
        <w:rPr>
          <w:rFonts w:ascii="Times New Roman" w:eastAsia="Times New Roman" w:hAnsi="Times New Roman" w:cs="Times New Roman"/>
          <w:sz w:val="24"/>
          <w:szCs w:val="24"/>
        </w:rPr>
        <w:t xml:space="preserve">. V, </w:t>
      </w:r>
      <w:proofErr w:type="spellStart"/>
      <w:r>
        <w:rPr>
          <w:rFonts w:ascii="Times New Roman" w:eastAsia="Times New Roman" w:hAnsi="Times New Roman" w:cs="Times New Roman"/>
          <w:sz w:val="24"/>
          <w:szCs w:val="24"/>
        </w:rPr>
        <w:t>Uitdewilligen.S</w:t>
      </w:r>
      <w:proofErr w:type="spellEnd"/>
      <w:r>
        <w:rPr>
          <w:rFonts w:ascii="Times New Roman" w:eastAsia="Times New Roman" w:hAnsi="Times New Roman" w:cs="Times New Roman"/>
          <w:sz w:val="24"/>
          <w:szCs w:val="24"/>
        </w:rPr>
        <w:t>, &amp;</w:t>
      </w:r>
      <w:proofErr w:type="spellStart"/>
      <w:r>
        <w:rPr>
          <w:rFonts w:ascii="Times New Roman" w:eastAsia="Times New Roman" w:hAnsi="Times New Roman" w:cs="Times New Roman"/>
          <w:sz w:val="24"/>
          <w:szCs w:val="24"/>
        </w:rPr>
        <w:t>Co</w:t>
      </w:r>
      <w:r>
        <w:rPr>
          <w:rFonts w:ascii="Times New Roman" w:eastAsia="Times New Roman" w:hAnsi="Times New Roman" w:cs="Times New Roman"/>
          <w:sz w:val="24"/>
          <w:szCs w:val="24"/>
        </w:rPr>
        <w:t>rbière.M</w:t>
      </w:r>
      <w:proofErr w:type="spellEnd"/>
      <w:r>
        <w:rPr>
          <w:rFonts w:ascii="Times New Roman" w:eastAsia="Times New Roman" w:hAnsi="Times New Roman" w:cs="Times New Roman"/>
          <w:sz w:val="24"/>
          <w:szCs w:val="24"/>
        </w:rPr>
        <w:t xml:space="preserve">, (2018) Disability </w:t>
      </w:r>
    </w:p>
    <w:p w14:paraId="0000001D"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and employment – overview and highlights, European Journal of Work and Organizational </w:t>
      </w:r>
    </w:p>
    <w:p w14:paraId="0000001E"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Psychology, 27:1, 40-55, DOI: 10.1080/1359432X.2017.1387536</w:t>
      </w:r>
    </w:p>
    <w:p w14:paraId="0000001F" w14:textId="77777777" w:rsidR="00982B5E" w:rsidRDefault="004B13E3">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Anand</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Sevak</w:t>
      </w:r>
      <w:proofErr w:type="spellEnd"/>
      <w:r>
        <w:rPr>
          <w:rFonts w:ascii="Times New Roman" w:eastAsia="Times New Roman" w:hAnsi="Times New Roman" w:cs="Times New Roman"/>
          <w:sz w:val="24"/>
          <w:szCs w:val="24"/>
        </w:rPr>
        <w:t xml:space="preserve">, P. The role of workplace accommodations in the employment of people with </w:t>
      </w:r>
    </w:p>
    <w:p w14:paraId="00000020" w14:textId="77777777" w:rsidR="00982B5E" w:rsidRDefault="004B13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disabilities. IZA J </w:t>
      </w:r>
      <w:proofErr w:type="spellStart"/>
      <w:r>
        <w:rPr>
          <w:rFonts w:ascii="Times New Roman" w:eastAsia="Times New Roman" w:hAnsi="Times New Roman" w:cs="Times New Roman"/>
          <w:sz w:val="24"/>
          <w:szCs w:val="24"/>
        </w:rPr>
        <w:t>Labor</w:t>
      </w:r>
      <w:proofErr w:type="spellEnd"/>
      <w:r>
        <w:rPr>
          <w:rFonts w:ascii="Times New Roman" w:eastAsia="Times New Roman" w:hAnsi="Times New Roman" w:cs="Times New Roman"/>
          <w:sz w:val="24"/>
          <w:szCs w:val="24"/>
        </w:rPr>
        <w:t xml:space="preserve"> Policy 6, 12 (2017). </w:t>
      </w:r>
      <w:hyperlink r:id="rId6">
        <w:r>
          <w:rPr>
            <w:rFonts w:ascii="Times New Roman" w:eastAsia="Times New Roman" w:hAnsi="Times New Roman" w:cs="Times New Roman"/>
            <w:color w:val="1155CC"/>
            <w:sz w:val="24"/>
            <w:szCs w:val="24"/>
            <w:u w:val="single"/>
          </w:rPr>
          <w:t>https://doi.org/10.1186/s40173-017-0090-4</w:t>
        </w:r>
      </w:hyperlink>
    </w:p>
    <w:p w14:paraId="00000021" w14:textId="77777777" w:rsidR="00982B5E" w:rsidRDefault="00982B5E">
      <w:pPr>
        <w:spacing w:line="480" w:lineRule="auto"/>
        <w:rPr>
          <w:rFonts w:ascii="Times New Roman" w:eastAsia="Times New Roman" w:hAnsi="Times New Roman" w:cs="Times New Roman"/>
          <w:sz w:val="24"/>
          <w:szCs w:val="24"/>
        </w:rPr>
      </w:pPr>
    </w:p>
    <w:p w14:paraId="00000022" w14:textId="77777777" w:rsidR="00982B5E" w:rsidRDefault="00982B5E">
      <w:pPr>
        <w:spacing w:line="480" w:lineRule="auto"/>
        <w:rPr>
          <w:rFonts w:ascii="Times New Roman" w:eastAsia="Times New Roman" w:hAnsi="Times New Roman" w:cs="Times New Roman"/>
          <w:sz w:val="24"/>
          <w:szCs w:val="24"/>
        </w:rPr>
      </w:pPr>
    </w:p>
    <w:p w14:paraId="00000023" w14:textId="77777777" w:rsidR="00982B5E" w:rsidRDefault="00982B5E">
      <w:pPr>
        <w:spacing w:line="480" w:lineRule="auto"/>
        <w:rPr>
          <w:rFonts w:ascii="Times New Roman" w:eastAsia="Times New Roman" w:hAnsi="Times New Roman" w:cs="Times New Roman"/>
          <w:b/>
          <w:sz w:val="24"/>
          <w:szCs w:val="24"/>
        </w:rPr>
      </w:pPr>
    </w:p>
    <w:p w14:paraId="00000024" w14:textId="77777777" w:rsidR="00982B5E" w:rsidRDefault="00982B5E">
      <w:pPr>
        <w:spacing w:line="480" w:lineRule="auto"/>
        <w:rPr>
          <w:rFonts w:ascii="Times New Roman" w:eastAsia="Times New Roman" w:hAnsi="Times New Roman" w:cs="Times New Roman"/>
          <w:b/>
          <w:sz w:val="24"/>
          <w:szCs w:val="24"/>
        </w:rPr>
      </w:pPr>
    </w:p>
    <w:sectPr w:rsidR="00982B5E">
      <w:headerReference w:type="default" r:id="rId7"/>
      <w:footerReference w:type="default" r:id="rId8"/>
      <w:headerReference w:type="first" r:id="rId9"/>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14733C" w14:textId="77777777" w:rsidR="00000000" w:rsidRDefault="004B13E3">
      <w:pPr>
        <w:spacing w:line="240" w:lineRule="auto"/>
      </w:pPr>
      <w:r>
        <w:separator/>
      </w:r>
    </w:p>
  </w:endnote>
  <w:endnote w:type="continuationSeparator" w:id="0">
    <w:p w14:paraId="605FAA2D" w14:textId="77777777" w:rsidR="00000000" w:rsidRDefault="004B13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7" w14:textId="77777777" w:rsidR="00982B5E" w:rsidRDefault="004B13E3">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E55C98" w14:textId="77777777" w:rsidR="00000000" w:rsidRDefault="004B13E3">
      <w:pPr>
        <w:spacing w:line="240" w:lineRule="auto"/>
      </w:pPr>
      <w:r>
        <w:separator/>
      </w:r>
    </w:p>
  </w:footnote>
  <w:footnote w:type="continuationSeparator" w:id="0">
    <w:p w14:paraId="2988946A" w14:textId="77777777" w:rsidR="00000000" w:rsidRDefault="004B13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6" w14:textId="4531F078" w:rsidR="00982B5E" w:rsidRDefault="004B13E3">
    <w:pPr>
      <w:jc w:val="right"/>
    </w:pPr>
    <w:r>
      <w:fldChar w:fldCharType="begin"/>
    </w:r>
    <w:r>
      <w:instrText>PAGE</w:instrText>
    </w:r>
    <w:r>
      <w:fldChar w:fldCharType="separate"/>
    </w:r>
    <w:r>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5" w14:textId="77777777" w:rsidR="00982B5E" w:rsidRDefault="00982B5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B5E"/>
    <w:rsid w:val="004B13E3"/>
    <w:rsid w:val="00982B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90C7E9C6-0ACB-AE44-A27E-D277501A8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86/s40173-017-0090-4"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892</Words>
  <Characters>5089</Characters>
  <Application>Microsoft Office Word</Application>
  <DocSecurity>0</DocSecurity>
  <Lines>42</Lines>
  <Paragraphs>11</Paragraphs>
  <ScaleCrop>false</ScaleCrop>
  <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nyoike31@gmail.com</cp:lastModifiedBy>
  <cp:revision>2</cp:revision>
  <dcterms:created xsi:type="dcterms:W3CDTF">2021-10-08T07:26:00Z</dcterms:created>
  <dcterms:modified xsi:type="dcterms:W3CDTF">2021-10-08T07:26:00Z</dcterms:modified>
</cp:coreProperties>
</file>